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CBA1F">
      <w:pPr>
        <w:jc w:val="left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食品与健康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学院)</w:t>
      </w:r>
    </w:p>
    <w:p w14:paraId="2238F029">
      <w:pPr>
        <w:jc w:val="center"/>
        <w:rPr>
          <w:rFonts w:hint="eastAsia" w:ascii="华文中宋" w:hAnsi="华文中宋" w:eastAsia="华文中宋"/>
          <w:color w:val="auto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kern w:val="0"/>
          <w:sz w:val="44"/>
          <w:szCs w:val="44"/>
          <w:lang w:eastAsia="zh-CN"/>
        </w:rPr>
        <w:t>食品与健康</w:t>
      </w:r>
      <w:r>
        <w:rPr>
          <w:rFonts w:hint="eastAsia" w:ascii="华文中宋" w:hAnsi="华文中宋" w:eastAsia="华文中宋"/>
          <w:color w:val="auto"/>
          <w:kern w:val="0"/>
          <w:sz w:val="44"/>
          <w:szCs w:val="44"/>
        </w:rPr>
        <w:t>学院</w:t>
      </w:r>
    </w:p>
    <w:p w14:paraId="2DF18B49">
      <w:pPr>
        <w:jc w:val="center"/>
        <w:rPr>
          <w:rFonts w:hint="eastAsia" w:ascii="华文中宋" w:hAnsi="华文中宋" w:eastAsia="华文中宋"/>
          <w:color w:val="auto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kern w:val="0"/>
          <w:sz w:val="44"/>
          <w:szCs w:val="44"/>
        </w:rPr>
        <w:t>教职工年度考核实施细则</w:t>
      </w:r>
    </w:p>
    <w:p w14:paraId="641F0314">
      <w:pPr>
        <w:jc w:val="center"/>
        <w:rPr>
          <w:rFonts w:hint="eastAsia"/>
          <w:color w:val="auto"/>
        </w:rPr>
      </w:pPr>
    </w:p>
    <w:p w14:paraId="1AB45EA7">
      <w:pPr>
        <w:ind w:firstLine="707" w:firstLineChars="221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根据《北京工商大学教职工管理办法（北工商党发〔202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Fonts w:ascii="仿宋" w:hAnsi="仿宋" w:eastAsia="仿宋"/>
          <w:color w:val="auto"/>
          <w:sz w:val="32"/>
          <w:szCs w:val="32"/>
        </w:rPr>
        <w:t>42</w:t>
      </w:r>
      <w:r>
        <w:rPr>
          <w:rFonts w:hint="eastAsia" w:ascii="仿宋" w:hAnsi="仿宋" w:eastAsia="仿宋"/>
          <w:color w:val="auto"/>
          <w:sz w:val="32"/>
          <w:szCs w:val="32"/>
        </w:rPr>
        <w:t>号）》的要求，结合学院实际情况，制定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食品与健康</w:t>
      </w:r>
      <w:r>
        <w:rPr>
          <w:rFonts w:hint="eastAsia" w:ascii="仿宋" w:hAnsi="仿宋" w:eastAsia="仿宋"/>
          <w:color w:val="auto"/>
          <w:sz w:val="32"/>
          <w:szCs w:val="32"/>
        </w:rPr>
        <w:t>学院20</w:t>
      </w:r>
      <w:r>
        <w:rPr>
          <w:rFonts w:ascii="仿宋" w:hAnsi="仿宋" w:eastAsia="仿宋"/>
          <w:color w:val="auto"/>
          <w:sz w:val="32"/>
          <w:szCs w:val="32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年度教职工考核实施细则。</w:t>
      </w:r>
    </w:p>
    <w:p w14:paraId="16AB0E86">
      <w:pPr>
        <w:ind w:firstLine="710" w:firstLineChars="221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一、考核原则</w:t>
      </w:r>
    </w:p>
    <w:p w14:paraId="32594926">
      <w:pPr>
        <w:ind w:firstLine="707" w:firstLineChars="221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（一）坚持客观公正、民主公开。</w:t>
      </w:r>
    </w:p>
    <w:p w14:paraId="26580B7A">
      <w:pPr>
        <w:ind w:firstLine="707" w:firstLineChars="221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（二）学院与系两级考核相结合。</w:t>
      </w:r>
    </w:p>
    <w:p w14:paraId="1ABD048A">
      <w:pPr>
        <w:ind w:firstLine="707" w:firstLineChars="221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（三）定性考核与定量考核相结合。</w:t>
      </w:r>
    </w:p>
    <w:p w14:paraId="6063E4F8">
      <w:pPr>
        <w:ind w:firstLine="707" w:firstLineChars="221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（四）以岗位职责和任务目标为依据。</w:t>
      </w:r>
    </w:p>
    <w:p w14:paraId="59362031">
      <w:pPr>
        <w:ind w:firstLine="710" w:firstLineChars="221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二、考核范围</w:t>
      </w:r>
    </w:p>
    <w:p w14:paraId="346C8924">
      <w:pPr>
        <w:ind w:firstLine="707" w:firstLineChars="221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学院受聘的在编在岗的教职工，</w:t>
      </w:r>
      <w:r>
        <w:rPr>
          <w:rFonts w:ascii="仿宋" w:hAnsi="仿宋" w:eastAsia="仿宋"/>
          <w:color w:val="auto"/>
          <w:sz w:val="32"/>
          <w:szCs w:val="32"/>
        </w:rPr>
        <w:t>“</w:t>
      </w:r>
      <w:r>
        <w:rPr>
          <w:rFonts w:hint="eastAsia" w:ascii="仿宋" w:hAnsi="仿宋" w:eastAsia="仿宋"/>
          <w:color w:val="auto"/>
          <w:sz w:val="32"/>
          <w:szCs w:val="32"/>
        </w:rPr>
        <w:t>双肩挑</w:t>
      </w:r>
      <w:r>
        <w:rPr>
          <w:rFonts w:ascii="仿宋" w:hAnsi="仿宋" w:eastAsia="仿宋"/>
          <w:color w:val="auto"/>
          <w:sz w:val="32"/>
          <w:szCs w:val="32"/>
        </w:rPr>
        <w:t>”</w:t>
      </w:r>
      <w:r>
        <w:rPr>
          <w:rFonts w:hint="eastAsia" w:ascii="仿宋" w:hAnsi="仿宋" w:eastAsia="仿宋"/>
          <w:color w:val="auto"/>
          <w:sz w:val="32"/>
          <w:szCs w:val="32"/>
        </w:rPr>
        <w:t>干部按照参加教师岗位的年度考核。高层次人才的年度考核按照《北京工商大学高层次人才考核实施办法》执行。</w:t>
      </w:r>
    </w:p>
    <w:p w14:paraId="3A5AB345">
      <w:pPr>
        <w:ind w:firstLine="710" w:firstLineChars="221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三、考核时段</w:t>
      </w:r>
    </w:p>
    <w:p w14:paraId="449C332F">
      <w:pPr>
        <w:ind w:firstLine="707" w:firstLineChars="221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考核时间为</w:t>
      </w:r>
      <w:r>
        <w:rPr>
          <w:rFonts w:ascii="仿宋" w:hAnsi="仿宋" w:eastAsia="仿宋"/>
          <w:color w:val="auto"/>
          <w:sz w:val="32"/>
          <w:szCs w:val="32"/>
        </w:rPr>
        <w:t>2024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日至</w:t>
      </w:r>
      <w:r>
        <w:rPr>
          <w:rFonts w:ascii="仿宋" w:hAnsi="仿宋" w:eastAsia="仿宋"/>
          <w:color w:val="auto"/>
          <w:sz w:val="32"/>
          <w:szCs w:val="32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ascii="仿宋" w:hAnsi="仿宋" w:eastAsia="仿宋"/>
          <w:color w:val="auto"/>
          <w:sz w:val="32"/>
          <w:szCs w:val="32"/>
        </w:rPr>
        <w:t>31</w:t>
      </w:r>
      <w:r>
        <w:rPr>
          <w:rFonts w:hint="eastAsia" w:ascii="仿宋" w:hAnsi="仿宋" w:eastAsia="仿宋"/>
          <w:color w:val="auto"/>
          <w:sz w:val="32"/>
          <w:szCs w:val="32"/>
        </w:rPr>
        <w:t>日。</w:t>
      </w:r>
    </w:p>
    <w:p w14:paraId="5DDCE1B7">
      <w:pPr>
        <w:ind w:firstLine="710" w:firstLineChars="221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四、考核组织领导</w:t>
      </w:r>
    </w:p>
    <w:p w14:paraId="431CC610"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学院按要求成立考核工作领导小组负责学院的年度考核工作，成员由学院领导班子成员、学科建设负责人、专业建设负责人、分工会主席、学术委员会成员、教代会成员和教职工代表等组成，学院党政负责人任组长。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</w:p>
    <w:p w14:paraId="41E7385E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组长：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郑喜姣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王彦波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</w:p>
    <w:p w14:paraId="209673ED">
      <w:pPr>
        <w:ind w:firstLine="645"/>
        <w:jc w:val="lef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成员：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熊慧、李健、王蓓、刘慧琳、孙啸涛、王少甲、徐友强、张明、刘洁、孙金沅、杨绍祥、赵亮、章慧莺</w:t>
      </w:r>
    </w:p>
    <w:p w14:paraId="3014DC70">
      <w:pPr>
        <w:ind w:firstLine="645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五、考核的内容、等级（次）和标准</w:t>
      </w:r>
    </w:p>
    <w:p w14:paraId="32FBBE86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根据教职工2</w:t>
      </w:r>
      <w:r>
        <w:rPr>
          <w:rFonts w:ascii="仿宋" w:hAnsi="仿宋" w:eastAsia="仿宋"/>
          <w:color w:val="auto"/>
          <w:sz w:val="32"/>
          <w:szCs w:val="32"/>
        </w:rPr>
        <w:t>024-2026</w:t>
      </w:r>
      <w:r>
        <w:rPr>
          <w:rFonts w:hint="eastAsia" w:ascii="仿宋" w:hAnsi="仿宋" w:eastAsia="仿宋"/>
          <w:color w:val="auto"/>
          <w:sz w:val="32"/>
          <w:szCs w:val="32"/>
        </w:rPr>
        <w:t>聘期《岗位聘任协议书》约定的岗位职责和的任期目标为基本依据，全面考核德、能、勤、绩、廉，突出对德和绩的考核。</w:t>
      </w:r>
      <w:r>
        <w:rPr>
          <w:rFonts w:ascii="仿宋" w:hAnsi="仿宋" w:eastAsia="仿宋"/>
          <w:color w:val="auto"/>
          <w:sz w:val="32"/>
          <w:szCs w:val="32"/>
        </w:rPr>
        <w:t>实行“师德一票否决制”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2F884910">
      <w:pPr>
        <w:ind w:firstLine="645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（一）专任教师岗位</w:t>
      </w:r>
    </w:p>
    <w:p w14:paraId="75E940DB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教师岗位人员主要考核师德师风、教书育人和教学、科研、校内社会工作等方面的工作实绩。包括人才培养、科学研究、学科建设、学术交流等方面的工作。</w:t>
      </w:r>
    </w:p>
    <w:p w14:paraId="3F1CAF78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教师按教学、科研打通考核计算总分。以1个教学标时为单位计算，科研分与教学标时的换算按学校统一标准，1个科研分=1个教学标时。</w:t>
      </w:r>
    </w:p>
    <w:p w14:paraId="68B60E3B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考核结果为优秀</w:t>
      </w:r>
    </w:p>
    <w:p w14:paraId="2B4CDE47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（1）考核结果合格。</w:t>
      </w:r>
    </w:p>
    <w:p w14:paraId="3EF81DDD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（2）教学科研工作量排名在各系教师的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/>
          <w:color w:val="auto"/>
          <w:sz w:val="32"/>
          <w:szCs w:val="32"/>
        </w:rPr>
        <w:t>80%。</w:t>
      </w:r>
    </w:p>
    <w:p w14:paraId="0DA7477E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（3）在某些方面作出突出贡献者可不受此条件限制。</w:t>
      </w:r>
    </w:p>
    <w:p w14:paraId="0E1A5F62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（4）各系参考以上条件，结合本系专任教师考核人员参加学科、专业建设等社会工作的情况，按不高于2</w:t>
      </w:r>
      <w:r>
        <w:rPr>
          <w:rFonts w:ascii="仿宋" w:hAnsi="仿宋" w:eastAsia="仿宋"/>
          <w:color w:val="auto"/>
          <w:sz w:val="32"/>
          <w:szCs w:val="32"/>
        </w:rPr>
        <w:t>0%</w:t>
      </w:r>
      <w:r>
        <w:rPr>
          <w:rFonts w:hint="eastAsia" w:ascii="仿宋" w:hAnsi="仿宋" w:eastAsia="仿宋"/>
          <w:color w:val="auto"/>
          <w:sz w:val="32"/>
          <w:szCs w:val="32"/>
        </w:rPr>
        <w:t>的比例提出考核优秀的候选人，经系务会通过后报学院考核工作领导小组。学院考核工作领导小组对符合条件的候选人进行讨论、评议，在学校规定的比例范围内评选出本年度的考核优秀人员上报学校。</w:t>
      </w:r>
    </w:p>
    <w:p w14:paraId="23AC26E2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2</w:t>
      </w:r>
      <w:r>
        <w:rPr>
          <w:rFonts w:ascii="仿宋" w:hAnsi="仿宋" w:eastAsia="仿宋"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考核结果为合格</w:t>
      </w:r>
    </w:p>
    <w:p w14:paraId="1E5C6F51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（1）工作服从安排，未出现安全稳定相关事故，并且能够</w:t>
      </w:r>
      <w:bookmarkStart w:id="0" w:name="_Hlk185410856"/>
      <w:r>
        <w:rPr>
          <w:rFonts w:hint="eastAsia" w:ascii="仿宋" w:hAnsi="仿宋" w:eastAsia="仿宋"/>
          <w:color w:val="auto"/>
          <w:sz w:val="32"/>
          <w:szCs w:val="32"/>
        </w:rPr>
        <w:t>按照学校、院系有关规定和要求认真完成学院、系分配的各项工作</w:t>
      </w:r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，积极参加学院和学校的各项活动。</w:t>
      </w:r>
    </w:p>
    <w:p w14:paraId="5B272747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（2）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原则上，教学科研型教师年均主讲本科生课程不低于32学时；教学为主型教师年均主讲本科生课程不低于128学时；科研为主型、社会服务型教师年均主讲本科生课程不低于16学时。</w:t>
      </w:r>
    </w:p>
    <w:p w14:paraId="45A57F6C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3</w:t>
      </w:r>
      <w:r>
        <w:rPr>
          <w:rFonts w:ascii="仿宋" w:hAnsi="仿宋" w:eastAsia="仿宋"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其他考核结果</w:t>
      </w:r>
    </w:p>
    <w:p w14:paraId="791622B4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不能按照学校、院系有关规定和要求完成学院、系分配的各项工作的，考核结果为不合格或基本合格。符合学校规定的不合格条件的考核结果为不合格。</w:t>
      </w:r>
    </w:p>
    <w:p w14:paraId="3657F502">
      <w:pPr>
        <w:ind w:firstLine="645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（二）非教师岗位考核方法</w:t>
      </w:r>
    </w:p>
    <w:p w14:paraId="675F1881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管理岗位人员和其他专业技术岗位人员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主要考核在履行岗位职责过程中的工作作风、敬业精神、服务态度、管理能力、工作效率、创新意识、工作业绩和廉洁自律等情况，以及在学校学院重大工作和全校性中心工作、公益性工作方面做出的贡献。</w:t>
      </w:r>
    </w:p>
    <w:p w14:paraId="463BF158">
      <w:pPr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非教师岗位考核按学校要求分为民主测评与考勤测评两部分。考核等级由学院考核领导小组根据学校考核文件要求确定。</w:t>
      </w:r>
    </w:p>
    <w:p w14:paraId="0445749C">
      <w:pPr>
        <w:ind w:firstLine="645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六、其他未尽事宜，以学校文件为准。</w:t>
      </w:r>
    </w:p>
    <w:p w14:paraId="366912B9">
      <w:pPr>
        <w:ind w:firstLine="645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七、本考核实施细则202</w:t>
      </w:r>
      <w:r>
        <w:rPr>
          <w:rFonts w:ascii="仿宋" w:hAnsi="仿宋" w:eastAsia="仿宋"/>
          <w:b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年</w:t>
      </w:r>
      <w:r>
        <w:rPr>
          <w:rFonts w:ascii="仿宋" w:hAnsi="仿宋" w:eastAsia="仿宋"/>
          <w:b/>
          <w:color w:val="auto"/>
          <w:sz w:val="32"/>
          <w:szCs w:val="32"/>
        </w:rPr>
        <w:t>12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日经学院二级教代会通过表决通过并报人事处（党委教师工作部、人才工作办公室）备案。自202</w:t>
      </w:r>
      <w:r>
        <w:rPr>
          <w:rFonts w:ascii="仿宋" w:hAnsi="仿宋" w:eastAsia="仿宋"/>
          <w:b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年12月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日起开始执行，由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食品与健康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学院考核工作领导小组负责解释。</w:t>
      </w:r>
    </w:p>
    <w:p w14:paraId="294B915C">
      <w:pPr>
        <w:ind w:firstLine="645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4A24B0DF">
      <w:pPr>
        <w:ind w:firstLine="645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738ADB1E">
      <w:pPr>
        <w:ind w:firstLine="645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78001BB2">
      <w:pPr>
        <w:ind w:firstLine="3855" w:firstLineChars="1200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食品与健康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学院 </w:t>
      </w:r>
      <w:r>
        <w:rPr>
          <w:rFonts w:ascii="仿宋" w:hAnsi="仿宋" w:eastAsia="仿宋"/>
          <w:b/>
          <w:color w:val="auto"/>
          <w:sz w:val="32"/>
          <w:szCs w:val="32"/>
        </w:rPr>
        <w:t xml:space="preserve">   </w:t>
      </w:r>
    </w:p>
    <w:p w14:paraId="3733695C">
      <w:pPr>
        <w:ind w:firstLine="645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          </w:t>
      </w:r>
      <w:r>
        <w:rPr>
          <w:rFonts w:ascii="仿宋" w:hAnsi="仿宋" w:eastAsia="仿宋"/>
          <w:b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      </w:t>
      </w:r>
      <w:r>
        <w:rPr>
          <w:rFonts w:ascii="仿宋" w:hAnsi="仿宋" w:eastAsia="仿宋"/>
          <w:b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202</w:t>
      </w:r>
      <w:r>
        <w:rPr>
          <w:rFonts w:ascii="仿宋" w:hAnsi="仿宋" w:eastAsia="仿宋"/>
          <w:b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年12月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30</w:t>
      </w: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日 </w:t>
      </w:r>
      <w:r>
        <w:rPr>
          <w:rFonts w:ascii="仿宋" w:hAnsi="仿宋" w:eastAsia="仿宋"/>
          <w:b/>
          <w:color w:val="auto"/>
          <w:sz w:val="32"/>
          <w:szCs w:val="32"/>
        </w:rPr>
        <w:t xml:space="preserve">   </w:t>
      </w:r>
    </w:p>
    <w:p w14:paraId="16EF18AC">
      <w:pPr>
        <w:ind w:firstLine="645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8"/>
    <w:rsid w:val="00052D15"/>
    <w:rsid w:val="00132FFB"/>
    <w:rsid w:val="001E44CA"/>
    <w:rsid w:val="002A24CB"/>
    <w:rsid w:val="002D7A25"/>
    <w:rsid w:val="003070CF"/>
    <w:rsid w:val="00356CC7"/>
    <w:rsid w:val="00375E70"/>
    <w:rsid w:val="003E4F45"/>
    <w:rsid w:val="0040197A"/>
    <w:rsid w:val="00492165"/>
    <w:rsid w:val="00600867"/>
    <w:rsid w:val="006452A1"/>
    <w:rsid w:val="00647ED0"/>
    <w:rsid w:val="00696ED6"/>
    <w:rsid w:val="006B0957"/>
    <w:rsid w:val="006D5EA4"/>
    <w:rsid w:val="00824514"/>
    <w:rsid w:val="00841FFD"/>
    <w:rsid w:val="008833C6"/>
    <w:rsid w:val="008A13CA"/>
    <w:rsid w:val="009141B9"/>
    <w:rsid w:val="00963010"/>
    <w:rsid w:val="00971DE7"/>
    <w:rsid w:val="00990D39"/>
    <w:rsid w:val="009F5C0C"/>
    <w:rsid w:val="00A941B2"/>
    <w:rsid w:val="00B00E95"/>
    <w:rsid w:val="00B1508D"/>
    <w:rsid w:val="00C76530"/>
    <w:rsid w:val="00C92300"/>
    <w:rsid w:val="00C9496C"/>
    <w:rsid w:val="00D7565A"/>
    <w:rsid w:val="00DD07F3"/>
    <w:rsid w:val="00E606C5"/>
    <w:rsid w:val="00ED7628"/>
    <w:rsid w:val="00F05A27"/>
    <w:rsid w:val="00FA7BDE"/>
    <w:rsid w:val="00FE4055"/>
    <w:rsid w:val="3F9B5352"/>
    <w:rsid w:val="69DD0E8D"/>
    <w:rsid w:val="79CFB98B"/>
    <w:rsid w:val="BB7FEB38"/>
    <w:rsid w:val="DEFEDF6E"/>
    <w:rsid w:val="DFE545AD"/>
    <w:rsid w:val="FDDAF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1228</Characters>
  <Lines>10</Lines>
  <Paragraphs>2</Paragraphs>
  <TotalTime>9</TotalTime>
  <ScaleCrop>false</ScaleCrop>
  <LinksUpToDate>false</LinksUpToDate>
  <CharactersWithSpaces>1441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2024-12-19T20:04:00Z</dcterms:created>
  <dc:creator>202-2</dc:creator>
  <cp:lastModifiedBy>周凯文</cp:lastModifiedBy>
  <dcterms:modified xsi:type="dcterms:W3CDTF">2024-12-30T15:39:59Z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788E1CE9FEE3B72AD44D72673F883D71_43</vt:lpwstr>
  </property>
</Properties>
</file>